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AECA" w14:textId="77777777" w:rsidR="008A62E4" w:rsidRPr="001C001B" w:rsidRDefault="008A62E4" w:rsidP="008A62E4">
      <w:pPr>
        <w:spacing w:after="0" w:line="240" w:lineRule="auto"/>
        <w:ind w:left="720" w:right="720"/>
        <w:rPr>
          <w:rFonts w:ascii="Times New Roman" w:hAnsi="Times New Roman"/>
          <w:b/>
          <w:sz w:val="24"/>
          <w:szCs w:val="24"/>
        </w:rPr>
      </w:pPr>
      <w:r w:rsidRPr="001C001B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Pedagogical Activities </w:t>
      </w:r>
    </w:p>
    <w:p w14:paraId="46B42E2F" w14:textId="77777777" w:rsidR="008A62E4" w:rsidRPr="001C001B" w:rsidRDefault="008A62E4" w:rsidP="008A62E4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14:paraId="095CAE6B" w14:textId="77777777" w:rsidR="008A62E4" w:rsidRDefault="008A62E4" w:rsidP="008A62E4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1C001B">
        <w:rPr>
          <w:rFonts w:ascii="Times New Roman" w:hAnsi="Times New Roman"/>
          <w:sz w:val="24"/>
          <w:szCs w:val="24"/>
        </w:rPr>
        <w:t>I have taug</w:t>
      </w:r>
      <w:r>
        <w:rPr>
          <w:rFonts w:ascii="Times New Roman" w:hAnsi="Times New Roman"/>
          <w:sz w:val="24"/>
          <w:szCs w:val="24"/>
        </w:rPr>
        <w:t>ht the following courses at the University of Michigan and Howard University in multiple departments and programs (see below for the list). I took a 3-week CETLA</w:t>
      </w:r>
      <w:r w:rsidRPr="00517E8F">
        <w:rPr>
          <w:rFonts w:ascii="Times New Roman" w:hAnsi="Times New Roman"/>
          <w:sz w:val="24"/>
          <w:szCs w:val="24"/>
        </w:rPr>
        <w:t xml:space="preserve"> (</w:t>
      </w:r>
      <w:r w:rsidRPr="00AE0A54">
        <w:rPr>
          <w:rFonts w:ascii="Times New Roman" w:hAnsi="Times New Roman"/>
          <w:sz w:val="24"/>
          <w:szCs w:val="24"/>
        </w:rPr>
        <w:t>The Center for Excellence in Teaching, Le</w:t>
      </w:r>
      <w:r>
        <w:rPr>
          <w:rFonts w:ascii="Times New Roman" w:hAnsi="Times New Roman"/>
          <w:sz w:val="24"/>
          <w:szCs w:val="24"/>
        </w:rPr>
        <w:t>arning, and Assessment)</w:t>
      </w:r>
      <w:r w:rsidRPr="00517E8F">
        <w:rPr>
          <w:rFonts w:ascii="Times New Roman" w:hAnsi="Times New Roman"/>
          <w:sz w:val="24"/>
          <w:szCs w:val="24"/>
        </w:rPr>
        <w:t xml:space="preserve"> training </w:t>
      </w:r>
      <w:r>
        <w:rPr>
          <w:rFonts w:ascii="Times New Roman" w:hAnsi="Times New Roman"/>
          <w:sz w:val="24"/>
          <w:szCs w:val="24"/>
        </w:rPr>
        <w:t>workshops</w:t>
      </w:r>
      <w:r w:rsidRPr="00517E8F">
        <w:rPr>
          <w:rFonts w:ascii="Times New Roman" w:hAnsi="Times New Roman"/>
          <w:sz w:val="24"/>
          <w:szCs w:val="24"/>
        </w:rPr>
        <w:t xml:space="preserve"> to improve teaching effectiveness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E8F">
        <w:rPr>
          <w:rFonts w:ascii="Times New Roman" w:hAnsi="Times New Roman"/>
          <w:sz w:val="24"/>
          <w:szCs w:val="24"/>
        </w:rPr>
        <w:t xml:space="preserve">a 12-week teaching pedagogy </w:t>
      </w:r>
      <w:r>
        <w:rPr>
          <w:rFonts w:ascii="Times New Roman" w:hAnsi="Times New Roman"/>
          <w:sz w:val="24"/>
          <w:szCs w:val="24"/>
        </w:rPr>
        <w:t>course, and c</w:t>
      </w:r>
      <w:r w:rsidRPr="00517E8F">
        <w:rPr>
          <w:rFonts w:ascii="Times New Roman" w:hAnsi="Times New Roman"/>
          <w:sz w:val="24"/>
          <w:szCs w:val="24"/>
        </w:rPr>
        <w:t>ompleted an 8-week training program for advising upper-level student writing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39BEB01" w14:textId="77777777" w:rsidR="008A62E4" w:rsidRDefault="008A62E4" w:rsidP="008A62E4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14:paraId="4F935EAD" w14:textId="77777777" w:rsidR="008A62E4" w:rsidRDefault="008A62E4" w:rsidP="008A62E4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advising Ph. D students, I am also one of the most active members of the department. I believe that my approach in guiding students to complete dissertations has been very effective, indicated by the number of advised dissertations and the wide range of topic areas. In 2018, I offered a weekly publication writing workshop in which students could stop by to chat about the progress of their theses, any writing blocks, or/and better strategies to get accepted in conferences and journals. </w:t>
      </w:r>
    </w:p>
    <w:p w14:paraId="63A40077" w14:textId="77777777" w:rsidR="008A62E4" w:rsidRDefault="008A62E4" w:rsidP="008A62E4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14:paraId="25B2CB78" w14:textId="77777777" w:rsidR="008A62E4" w:rsidRDefault="008A62E4" w:rsidP="008A62E4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addition, teaching doctoral students involves working with them in actual research projects, as I have continued to work actively with my doctoral students. Pedagogical outcomes of those engagements have been enormously fruitful. I published two articles and wrote </w:t>
      </w:r>
      <w:proofErr w:type="gramStart"/>
      <w:r>
        <w:rPr>
          <w:rFonts w:ascii="Times New Roman" w:hAnsi="Times New Roman"/>
          <w:sz w:val="24"/>
          <w:szCs w:val="24"/>
        </w:rPr>
        <w:t>a number of</w:t>
      </w:r>
      <w:proofErr w:type="gramEnd"/>
      <w:r>
        <w:rPr>
          <w:rFonts w:ascii="Times New Roman" w:hAnsi="Times New Roman"/>
          <w:sz w:val="24"/>
          <w:szCs w:val="24"/>
        </w:rPr>
        <w:t xml:space="preserve"> advocacy comments with my doctoral students. Two projects are still underway with my students. One of my main advisees (</w:t>
      </w:r>
      <w:proofErr w:type="spellStart"/>
      <w:r>
        <w:rPr>
          <w:rFonts w:ascii="Times New Roman" w:hAnsi="Times New Roman"/>
          <w:sz w:val="24"/>
          <w:szCs w:val="24"/>
        </w:rPr>
        <w:t>Maisoun</w:t>
      </w:r>
      <w:proofErr w:type="spellEnd"/>
      <w:r>
        <w:rPr>
          <w:rFonts w:ascii="Times New Roman" w:hAnsi="Times New Roman"/>
          <w:sz w:val="24"/>
          <w:szCs w:val="24"/>
        </w:rPr>
        <w:t xml:space="preserve">) recently earned the top student paper award in the 2019 annual meeting of International Communication Association held in Washington D.C. I supervised the progress of her paper, which started as a class paper in my Internet &amp; Society class. </w:t>
      </w:r>
    </w:p>
    <w:p w14:paraId="57348632" w14:textId="77777777" w:rsidR="008A62E4" w:rsidRDefault="008A62E4" w:rsidP="008A62E4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150D1092" w14:textId="77777777" w:rsidR="008A62E4" w:rsidRPr="00C45CF9" w:rsidRDefault="008A62E4" w:rsidP="008A62E4">
      <w:pPr>
        <w:spacing w:after="0" w:line="240" w:lineRule="auto"/>
        <w:ind w:left="360" w:firstLine="360"/>
        <w:rPr>
          <w:rFonts w:ascii="Times New Roman" w:eastAsia="Calibri" w:hAnsi="Times New Roman"/>
          <w:b/>
          <w:i/>
          <w:sz w:val="24"/>
          <w:szCs w:val="24"/>
        </w:rPr>
      </w:pPr>
      <w:r w:rsidRPr="002A3AE8">
        <w:rPr>
          <w:rFonts w:ascii="Times New Roman" w:eastAsia="Calibri" w:hAnsi="Times New Roman"/>
          <w:b/>
          <w:i/>
          <w:sz w:val="24"/>
          <w:szCs w:val="24"/>
        </w:rPr>
        <w:t>Undergraduate Courses</w:t>
      </w:r>
    </w:p>
    <w:p w14:paraId="314173CD" w14:textId="77777777" w:rsidR="008A62E4" w:rsidRPr="002A3AE8" w:rsidRDefault="008A62E4" w:rsidP="008A62E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Intersection between Society, and Technologies: Socio-Tech Approach </w:t>
      </w:r>
    </w:p>
    <w:p w14:paraId="3704533E" w14:textId="77777777" w:rsidR="008A62E4" w:rsidRPr="002A3AE8" w:rsidRDefault="008A62E4" w:rsidP="008A62E4">
      <w:pPr>
        <w:numPr>
          <w:ilvl w:val="1"/>
          <w:numId w:val="1"/>
        </w:numPr>
        <w:spacing w:after="160" w:line="259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Emerging Comm. Technologies (New Media &amp; Society: Privacy, Security, etc.) </w:t>
      </w:r>
    </w:p>
    <w:p w14:paraId="3BFA4E36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>Communication &amp; New Media Policy (Policy Implications of New Digital Technology)</w:t>
      </w:r>
    </w:p>
    <w:p w14:paraId="0C973B8C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New Media Institutions </w:t>
      </w:r>
    </w:p>
    <w:p w14:paraId="20D419BE" w14:textId="77777777" w:rsidR="008A62E4" w:rsidRPr="002A3AE8" w:rsidRDefault="008A62E4" w:rsidP="008A62E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>Research Method (Statistical, Mixed Reasoning, and Computational Big Data Infographics)</w:t>
      </w:r>
    </w:p>
    <w:p w14:paraId="03EC4420" w14:textId="77777777" w:rsidR="008A62E4" w:rsidRPr="002A3AE8" w:rsidRDefault="008A62E4" w:rsidP="008A62E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Social Engagement and Political Change </w:t>
      </w:r>
    </w:p>
    <w:p w14:paraId="19FE38A6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>Race, Gender, Media (</w:t>
      </w:r>
      <w:proofErr w:type="gramStart"/>
      <w:r w:rsidRPr="002A3AE8">
        <w:rPr>
          <w:rFonts w:ascii="Times New Roman" w:eastAsia="Calibri" w:hAnsi="Times New Roman"/>
          <w:sz w:val="24"/>
          <w:szCs w:val="24"/>
        </w:rPr>
        <w:t>Social Media</w:t>
      </w:r>
      <w:proofErr w:type="gramEnd"/>
      <w:r w:rsidRPr="002A3AE8">
        <w:rPr>
          <w:rFonts w:ascii="Times New Roman" w:eastAsia="Calibri" w:hAnsi="Times New Roman"/>
          <w:sz w:val="24"/>
          <w:szCs w:val="24"/>
        </w:rPr>
        <w:t xml:space="preserve">, Social Computing, and Marginalized Groups) </w:t>
      </w:r>
    </w:p>
    <w:p w14:paraId="48CFF48C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Processes of Mediated Comm. (Individual-Social Implications of New Technologies) </w:t>
      </w:r>
    </w:p>
    <w:p w14:paraId="6CE57A32" w14:textId="77777777" w:rsidR="008A62E4" w:rsidRPr="002A3AE8" w:rsidRDefault="008A62E4" w:rsidP="008A62E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Miscellaneous </w:t>
      </w:r>
    </w:p>
    <w:p w14:paraId="3A8DBA1D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>Managing the Information Environment (Data Management, Visualization, etc.)</w:t>
      </w:r>
    </w:p>
    <w:p w14:paraId="6A29BE61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>Introduction to Communication Theory</w:t>
      </w:r>
    </w:p>
    <w:p w14:paraId="5E7972E4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Senior Capstone: Senior Thesis Writing &amp; Research in Info Technology </w:t>
      </w:r>
    </w:p>
    <w:p w14:paraId="743984FE" w14:textId="77777777" w:rsidR="008A62E4" w:rsidRPr="002A3AE8" w:rsidRDefault="008A62E4" w:rsidP="008A62E4">
      <w:pPr>
        <w:spacing w:after="0" w:line="240" w:lineRule="auto"/>
        <w:ind w:left="720" w:firstLine="720"/>
        <w:rPr>
          <w:rFonts w:ascii="Times New Roman" w:eastAsia="Calibri" w:hAnsi="Times New Roman"/>
          <w:sz w:val="24"/>
          <w:szCs w:val="24"/>
        </w:rPr>
      </w:pPr>
    </w:p>
    <w:p w14:paraId="5DB00141" w14:textId="77777777" w:rsidR="008A62E4" w:rsidRPr="00C45CF9" w:rsidRDefault="008A62E4" w:rsidP="008A62E4">
      <w:pPr>
        <w:spacing w:after="0" w:line="240" w:lineRule="auto"/>
        <w:ind w:left="360" w:firstLine="360"/>
        <w:rPr>
          <w:rFonts w:ascii="Times New Roman" w:eastAsia="Calibri" w:hAnsi="Times New Roman"/>
          <w:b/>
          <w:i/>
          <w:sz w:val="24"/>
          <w:szCs w:val="24"/>
        </w:rPr>
      </w:pPr>
      <w:r w:rsidRPr="002A3AE8">
        <w:rPr>
          <w:rFonts w:ascii="Times New Roman" w:eastAsia="Calibri" w:hAnsi="Times New Roman"/>
          <w:b/>
          <w:i/>
          <w:sz w:val="24"/>
          <w:szCs w:val="24"/>
        </w:rPr>
        <w:t>Graduate Courses</w:t>
      </w:r>
    </w:p>
    <w:p w14:paraId="442CF38E" w14:textId="77777777" w:rsidR="008A62E4" w:rsidRPr="002A3AE8" w:rsidRDefault="008A62E4" w:rsidP="008A62E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>Quantitative Research Methodology</w:t>
      </w:r>
    </w:p>
    <w:p w14:paraId="0B88595E" w14:textId="77777777" w:rsidR="008A62E4" w:rsidRPr="002A3AE8" w:rsidRDefault="008A62E4" w:rsidP="008A62E4">
      <w:pPr>
        <w:numPr>
          <w:ilvl w:val="0"/>
          <w:numId w:val="1"/>
        </w:numPr>
        <w:spacing w:after="160" w:line="259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Advanced Quan. Reasoning: Regression, ANOVA/ANCOVA, PROCESS, R, Python, etc. </w:t>
      </w:r>
    </w:p>
    <w:p w14:paraId="08D92945" w14:textId="77777777" w:rsidR="008A62E4" w:rsidRPr="002A3AE8" w:rsidRDefault="008A62E4" w:rsidP="008A62E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Intersection between Society, and Technologies: Socio-Tech Approach </w:t>
      </w:r>
    </w:p>
    <w:p w14:paraId="0E10DF70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Internet and Society (e.g., Security, Privacy, Gaming, </w:t>
      </w:r>
      <w:proofErr w:type="gramStart"/>
      <w:r w:rsidRPr="002A3AE8">
        <w:rPr>
          <w:rFonts w:ascii="Times New Roman" w:eastAsia="Calibri" w:hAnsi="Times New Roman"/>
          <w:sz w:val="24"/>
          <w:szCs w:val="24"/>
        </w:rPr>
        <w:t>Social Media</w:t>
      </w:r>
      <w:proofErr w:type="gramEnd"/>
      <w:r w:rsidRPr="002A3AE8">
        <w:rPr>
          <w:rFonts w:ascii="Times New Roman" w:eastAsia="Calibri" w:hAnsi="Times New Roman"/>
          <w:sz w:val="24"/>
          <w:szCs w:val="24"/>
        </w:rPr>
        <w:t xml:space="preserve">, Mobile, etc.) </w:t>
      </w:r>
    </w:p>
    <w:p w14:paraId="385874F9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>Digital Media Policy, Governance and Administration</w:t>
      </w:r>
    </w:p>
    <w:p w14:paraId="348C5185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Digital Technologies and Health </w:t>
      </w:r>
    </w:p>
    <w:p w14:paraId="062025B9" w14:textId="77777777" w:rsidR="008A62E4" w:rsidRPr="002A3AE8" w:rsidRDefault="008A62E4" w:rsidP="008A62E4">
      <w:pPr>
        <w:numPr>
          <w:ilvl w:val="1"/>
          <w:numId w:val="1"/>
        </w:numPr>
        <w:spacing w:after="0" w:line="240" w:lineRule="auto"/>
        <w:ind w:left="1800"/>
        <w:contextualSpacing/>
        <w:rPr>
          <w:rFonts w:ascii="Times New Roman" w:eastAsia="Calibri" w:hAnsi="Times New Roman"/>
          <w:sz w:val="24"/>
          <w:szCs w:val="24"/>
        </w:rPr>
      </w:pPr>
      <w:r w:rsidRPr="002A3AE8">
        <w:rPr>
          <w:rFonts w:ascii="Times New Roman" w:eastAsia="Calibri" w:hAnsi="Times New Roman"/>
          <w:sz w:val="24"/>
          <w:szCs w:val="24"/>
        </w:rPr>
        <w:t xml:space="preserve">Inequalities in Information Society: Gender, Race, Class </w:t>
      </w:r>
    </w:p>
    <w:p w14:paraId="01AE7170" w14:textId="77777777" w:rsidR="00C0543D" w:rsidRDefault="00C0543D"/>
    <w:sectPr w:rsidR="00C0543D" w:rsidSect="00A1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F06"/>
    <w:multiLevelType w:val="hybridMultilevel"/>
    <w:tmpl w:val="9474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65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E4"/>
    <w:rsid w:val="008A62E4"/>
    <w:rsid w:val="00A12CD6"/>
    <w:rsid w:val="00C0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936F1"/>
  <w15:chartTrackingRefBased/>
  <w15:docId w15:val="{ED842CAD-83CA-FC4D-B30C-7C0D9A18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E4"/>
    <w:pPr>
      <w:spacing w:after="200" w:line="276" w:lineRule="auto"/>
    </w:pPr>
    <w:rPr>
      <w:rFonts w:ascii="Calibri" w:eastAsia="Batang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Lance</dc:creator>
  <cp:keywords/>
  <dc:description/>
  <cp:lastModifiedBy>Park, Lance</cp:lastModifiedBy>
  <cp:revision>1</cp:revision>
  <dcterms:created xsi:type="dcterms:W3CDTF">2022-10-29T23:00:00Z</dcterms:created>
  <dcterms:modified xsi:type="dcterms:W3CDTF">2022-10-29T23:00:00Z</dcterms:modified>
</cp:coreProperties>
</file>